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杨彦超</w:t>
      </w:r>
      <w:r>
        <w:rPr>
          <w:rFonts w:hint="eastAsia"/>
          <w:sz w:val="15"/>
          <w:szCs w:val="15"/>
          <w:highlight w:val="none"/>
        </w:rPr>
        <w:t>，</w:t>
      </w:r>
      <w:r>
        <w:rPr>
          <w:rFonts w:hint="eastAsia"/>
          <w:sz w:val="15"/>
          <w:szCs w:val="15"/>
          <w:highlight w:val="none"/>
          <w:lang w:val="en-US" w:eastAsia="zh-CN"/>
        </w:rPr>
        <w:t>130126198502242750</w:t>
      </w:r>
      <w:r>
        <w:rPr>
          <w:rFonts w:hint="eastAsia"/>
          <w:sz w:val="15"/>
          <w:szCs w:val="15"/>
        </w:rPr>
        <w:t xml:space="preserve">  </w:t>
      </w:r>
      <w:r>
        <w:rPr>
          <w:rFonts w:hint="eastAsia"/>
          <w:sz w:val="15"/>
          <w:szCs w:val="15"/>
          <w:lang w:val="en-US" w:eastAsia="zh-CN"/>
        </w:rPr>
        <w:t>冀ATF045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