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罗秋刚</w:t>
      </w:r>
      <w:r>
        <w:rPr>
          <w:rFonts w:hint="eastAsia"/>
          <w:sz w:val="15"/>
          <w:szCs w:val="15"/>
          <w:highlight w:val="none"/>
        </w:rPr>
        <w:t>，</w:t>
      </w:r>
      <w:r>
        <w:rPr>
          <w:rFonts w:hint="eastAsia"/>
          <w:sz w:val="15"/>
          <w:szCs w:val="15"/>
          <w:highlight w:val="none"/>
          <w:lang w:val="en-US" w:eastAsia="zh-CN"/>
        </w:rPr>
        <w:t>130126198410083318</w:t>
      </w:r>
      <w:r>
        <w:rPr>
          <w:rFonts w:hint="eastAsia"/>
          <w:sz w:val="15"/>
          <w:szCs w:val="15"/>
        </w:rPr>
        <w:t xml:space="preserve">  </w:t>
      </w:r>
      <w:r>
        <w:rPr>
          <w:rFonts w:hint="eastAsia"/>
          <w:sz w:val="15"/>
          <w:szCs w:val="15"/>
          <w:lang w:val="en-US" w:eastAsia="zh-CN"/>
        </w:rPr>
        <w:t>冀A389FM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