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董志永</w:t>
      </w:r>
      <w:r>
        <w:rPr>
          <w:rFonts w:hint="eastAsia"/>
          <w:sz w:val="15"/>
          <w:szCs w:val="15"/>
          <w:highlight w:val="none"/>
        </w:rPr>
        <w:t>，</w:t>
      </w:r>
      <w:r>
        <w:rPr>
          <w:rFonts w:hint="eastAsia"/>
          <w:sz w:val="15"/>
          <w:szCs w:val="15"/>
          <w:highlight w:val="none"/>
          <w:lang w:val="en-US" w:eastAsia="zh-CN"/>
        </w:rPr>
        <w:t>130126198410030638</w:t>
      </w:r>
      <w:r>
        <w:rPr>
          <w:rFonts w:hint="eastAsia"/>
          <w:sz w:val="15"/>
          <w:szCs w:val="15"/>
        </w:rPr>
        <w:t xml:space="preserve">  </w:t>
      </w:r>
      <w:r>
        <w:rPr>
          <w:rFonts w:hint="eastAsia"/>
          <w:sz w:val="15"/>
          <w:szCs w:val="15"/>
          <w:lang w:val="en-US" w:eastAsia="zh-CN"/>
        </w:rPr>
        <w:t>冀AKR107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