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闫广恩</w:t>
      </w:r>
      <w:r>
        <w:rPr>
          <w:rFonts w:hint="eastAsia"/>
          <w:sz w:val="15"/>
          <w:szCs w:val="15"/>
          <w:highlight w:val="none"/>
        </w:rPr>
        <w:t>，</w:t>
      </w:r>
      <w:r>
        <w:rPr>
          <w:rFonts w:hint="eastAsia"/>
          <w:sz w:val="15"/>
          <w:szCs w:val="15"/>
          <w:highlight w:val="none"/>
          <w:lang w:val="en-US" w:eastAsia="zh-CN"/>
        </w:rPr>
        <w:t>13012619840728301X</w:t>
      </w:r>
      <w:r>
        <w:rPr>
          <w:rFonts w:hint="eastAsia"/>
          <w:sz w:val="15"/>
          <w:szCs w:val="15"/>
        </w:rPr>
        <w:t xml:space="preserve">  </w:t>
      </w:r>
      <w:r>
        <w:rPr>
          <w:rFonts w:hint="eastAsia"/>
          <w:sz w:val="15"/>
          <w:szCs w:val="15"/>
          <w:lang w:val="en-US" w:eastAsia="zh-CN"/>
        </w:rPr>
        <w:t>冀AHB841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