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武增雷</w:t>
      </w:r>
      <w:r>
        <w:rPr>
          <w:rFonts w:hint="eastAsia"/>
          <w:sz w:val="15"/>
          <w:szCs w:val="15"/>
          <w:highlight w:val="none"/>
        </w:rPr>
        <w:t>，</w:t>
      </w:r>
      <w:r>
        <w:rPr>
          <w:rFonts w:hint="eastAsia"/>
          <w:sz w:val="15"/>
          <w:szCs w:val="15"/>
          <w:highlight w:val="none"/>
          <w:lang w:val="en-US" w:eastAsia="zh-CN"/>
        </w:rPr>
        <w:t>130126198405252412</w:t>
      </w:r>
      <w:r>
        <w:rPr>
          <w:rFonts w:hint="eastAsia"/>
          <w:sz w:val="15"/>
          <w:szCs w:val="15"/>
        </w:rPr>
        <w:t xml:space="preserve">  </w:t>
      </w:r>
      <w:r>
        <w:rPr>
          <w:rFonts w:hint="eastAsia"/>
          <w:sz w:val="15"/>
          <w:szCs w:val="15"/>
          <w:lang w:val="en-US" w:eastAsia="zh-CN"/>
        </w:rPr>
        <w:t>冀AWW485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