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张志双</w:t>
      </w:r>
      <w:r>
        <w:rPr>
          <w:rFonts w:hint="eastAsia"/>
          <w:sz w:val="15"/>
          <w:szCs w:val="15"/>
          <w:highlight w:val="none"/>
        </w:rPr>
        <w:t>，</w:t>
      </w:r>
      <w:r>
        <w:rPr>
          <w:rFonts w:hint="eastAsia"/>
          <w:sz w:val="15"/>
          <w:szCs w:val="15"/>
          <w:highlight w:val="none"/>
          <w:lang w:val="en-US" w:eastAsia="zh-CN"/>
        </w:rPr>
        <w:t>130126198311112718</w:t>
      </w:r>
      <w:r>
        <w:rPr>
          <w:rFonts w:hint="eastAsia"/>
          <w:sz w:val="15"/>
          <w:szCs w:val="15"/>
        </w:rPr>
        <w:t xml:space="preserve">  </w:t>
      </w:r>
      <w:r>
        <w:rPr>
          <w:rFonts w:hint="eastAsia"/>
          <w:sz w:val="15"/>
          <w:szCs w:val="15"/>
          <w:lang w:val="en-US" w:eastAsia="zh-CN"/>
        </w:rPr>
        <w:t>冀A713S8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