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宋英杰</w:t>
      </w:r>
      <w:r>
        <w:rPr>
          <w:rFonts w:hint="eastAsia"/>
          <w:sz w:val="15"/>
          <w:szCs w:val="15"/>
          <w:highlight w:val="none"/>
        </w:rPr>
        <w:t>，</w:t>
      </w:r>
      <w:r>
        <w:rPr>
          <w:rFonts w:hint="eastAsia"/>
          <w:sz w:val="15"/>
          <w:szCs w:val="15"/>
          <w:highlight w:val="none"/>
          <w:lang w:val="en-US" w:eastAsia="zh-CN"/>
        </w:rPr>
        <w:t>13012619830212301X</w:t>
      </w:r>
      <w:r>
        <w:rPr>
          <w:rFonts w:hint="eastAsia"/>
          <w:sz w:val="15"/>
          <w:szCs w:val="15"/>
        </w:rPr>
        <w:t xml:space="preserve">  </w:t>
      </w:r>
      <w:r>
        <w:rPr>
          <w:rFonts w:hint="eastAsia"/>
          <w:sz w:val="15"/>
          <w:szCs w:val="15"/>
          <w:lang w:val="en-US" w:eastAsia="zh-CN"/>
        </w:rPr>
        <w:t>冀A528JD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