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宋芹风</w:t>
      </w:r>
      <w:r>
        <w:rPr>
          <w:rFonts w:hint="eastAsia"/>
          <w:sz w:val="15"/>
          <w:szCs w:val="15"/>
          <w:highlight w:val="none"/>
        </w:rPr>
        <w:t>，</w:t>
      </w:r>
      <w:r>
        <w:rPr>
          <w:rFonts w:hint="eastAsia"/>
          <w:sz w:val="15"/>
          <w:szCs w:val="15"/>
          <w:highlight w:val="none"/>
          <w:lang w:val="en-US" w:eastAsia="zh-CN"/>
        </w:rPr>
        <w:t>130126198207053025</w:t>
      </w:r>
      <w:r>
        <w:rPr>
          <w:rFonts w:hint="eastAsia"/>
          <w:sz w:val="15"/>
          <w:szCs w:val="15"/>
        </w:rPr>
        <w:t xml:space="preserve">  </w:t>
      </w:r>
      <w:r>
        <w:rPr>
          <w:rFonts w:hint="eastAsia"/>
          <w:sz w:val="15"/>
          <w:szCs w:val="15"/>
          <w:lang w:val="en-US" w:eastAsia="zh-CN"/>
        </w:rPr>
        <w:t>沪A25277A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