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张瑞刚</w:t>
      </w:r>
      <w:r>
        <w:rPr>
          <w:rFonts w:hint="eastAsia"/>
          <w:sz w:val="15"/>
          <w:szCs w:val="15"/>
          <w:highlight w:val="none"/>
        </w:rPr>
        <w:t>，</w:t>
      </w:r>
      <w:r>
        <w:rPr>
          <w:rFonts w:hint="eastAsia"/>
          <w:sz w:val="15"/>
          <w:szCs w:val="15"/>
          <w:highlight w:val="none"/>
          <w:lang w:val="en-US" w:eastAsia="zh-CN"/>
        </w:rPr>
        <w:t>130126198204241813</w:t>
      </w:r>
      <w:r>
        <w:rPr>
          <w:rFonts w:hint="eastAsia"/>
          <w:sz w:val="15"/>
          <w:szCs w:val="15"/>
        </w:rPr>
        <w:t xml:space="preserve">  </w:t>
      </w:r>
      <w:r>
        <w:rPr>
          <w:rFonts w:hint="eastAsia"/>
          <w:sz w:val="15"/>
          <w:szCs w:val="15"/>
          <w:lang w:val="en-US" w:eastAsia="zh-CN"/>
        </w:rPr>
        <w:t>冀AR9457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