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赵风合</w:t>
      </w:r>
      <w:r>
        <w:rPr>
          <w:rFonts w:hint="eastAsia"/>
          <w:sz w:val="15"/>
          <w:szCs w:val="15"/>
          <w:highlight w:val="none"/>
        </w:rPr>
        <w:t>，</w:t>
      </w:r>
      <w:r>
        <w:rPr>
          <w:rFonts w:hint="eastAsia"/>
          <w:sz w:val="15"/>
          <w:szCs w:val="15"/>
          <w:highlight w:val="none"/>
          <w:lang w:val="en-US" w:eastAsia="zh-CN"/>
        </w:rPr>
        <w:t>130126198204142110</w:t>
      </w:r>
      <w:r>
        <w:rPr>
          <w:rFonts w:hint="eastAsia"/>
          <w:sz w:val="15"/>
          <w:szCs w:val="15"/>
        </w:rPr>
        <w:t xml:space="preserve">  </w:t>
      </w:r>
      <w:r>
        <w:rPr>
          <w:rFonts w:hint="eastAsia"/>
          <w:sz w:val="15"/>
          <w:szCs w:val="15"/>
          <w:lang w:val="en-US" w:eastAsia="zh-CN"/>
        </w:rPr>
        <w:t>冀A87E14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