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熊超</w:t>
      </w:r>
      <w:r>
        <w:rPr>
          <w:rFonts w:hint="eastAsia"/>
          <w:sz w:val="15"/>
          <w:szCs w:val="15"/>
          <w:highlight w:val="none"/>
        </w:rPr>
        <w:t>，</w:t>
      </w:r>
      <w:r>
        <w:rPr>
          <w:rFonts w:hint="eastAsia"/>
          <w:sz w:val="15"/>
          <w:szCs w:val="15"/>
          <w:highlight w:val="none"/>
          <w:lang w:val="en-US" w:eastAsia="zh-CN"/>
        </w:rPr>
        <w:t>130125199203085511</w:t>
      </w:r>
      <w:r>
        <w:rPr>
          <w:rFonts w:hint="eastAsia"/>
          <w:sz w:val="15"/>
          <w:szCs w:val="15"/>
        </w:rPr>
        <w:t xml:space="preserve">  </w:t>
      </w:r>
      <w:r>
        <w:rPr>
          <w:rFonts w:hint="eastAsia"/>
          <w:sz w:val="15"/>
          <w:szCs w:val="15"/>
          <w:lang w:val="en-US" w:eastAsia="zh-CN"/>
        </w:rPr>
        <w:t>冀AP1455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