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王志间</w:t>
      </w:r>
      <w:r>
        <w:rPr>
          <w:rFonts w:hint="eastAsia"/>
          <w:sz w:val="15"/>
          <w:szCs w:val="15"/>
          <w:highlight w:val="none"/>
        </w:rPr>
        <w:t>，</w:t>
      </w:r>
      <w:r>
        <w:rPr>
          <w:rFonts w:hint="eastAsia"/>
          <w:sz w:val="15"/>
          <w:szCs w:val="15"/>
          <w:highlight w:val="none"/>
          <w:lang w:val="en-US" w:eastAsia="zh-CN"/>
        </w:rPr>
        <w:t>130125198807093534</w:t>
      </w:r>
      <w:r>
        <w:rPr>
          <w:rFonts w:hint="eastAsia"/>
          <w:sz w:val="15"/>
          <w:szCs w:val="15"/>
        </w:rPr>
        <w:t xml:space="preserve">  </w:t>
      </w:r>
      <w:r>
        <w:rPr>
          <w:rFonts w:hint="eastAsia"/>
          <w:sz w:val="15"/>
          <w:szCs w:val="15"/>
          <w:lang w:val="en-US" w:eastAsia="zh-CN"/>
        </w:rPr>
        <w:t>冀AP5232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