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顾春娜</w:t>
      </w:r>
      <w:r>
        <w:rPr>
          <w:rFonts w:hint="eastAsia"/>
          <w:sz w:val="15"/>
          <w:szCs w:val="15"/>
          <w:highlight w:val="none"/>
        </w:rPr>
        <w:t>，</w:t>
      </w:r>
      <w:r>
        <w:rPr>
          <w:rFonts w:hint="eastAsia"/>
          <w:sz w:val="15"/>
          <w:szCs w:val="15"/>
          <w:highlight w:val="none"/>
          <w:lang w:val="en-US" w:eastAsia="zh-CN"/>
        </w:rPr>
        <w:t>130125198709168520</w:t>
      </w:r>
      <w:r>
        <w:rPr>
          <w:rFonts w:hint="eastAsia"/>
          <w:sz w:val="15"/>
          <w:szCs w:val="15"/>
        </w:rPr>
        <w:t xml:space="preserve">  </w:t>
      </w:r>
      <w:r>
        <w:rPr>
          <w:rFonts w:hint="eastAsia"/>
          <w:sz w:val="15"/>
          <w:szCs w:val="15"/>
          <w:lang w:val="en-US" w:eastAsia="zh-CN"/>
        </w:rPr>
        <w:t>冀AN9298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