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w:t>
      </w:r>
      <w:r>
        <w:rPr>
          <w:rFonts w:hint="eastAsia"/>
          <w:sz w:val="15"/>
          <w:szCs w:val="15"/>
          <w:highlight w:val="none"/>
        </w:rPr>
        <w:t>，</w:t>
      </w:r>
      <w:r>
        <w:rPr>
          <w:rFonts w:hint="eastAsia"/>
          <w:sz w:val="15"/>
          <w:szCs w:val="15"/>
          <w:highlight w:val="none"/>
          <w:lang w:val="en-US" w:eastAsia="zh-CN"/>
        </w:rPr>
        <w:t>130125198603084513</w:t>
      </w:r>
      <w:r>
        <w:rPr>
          <w:rFonts w:hint="eastAsia"/>
          <w:sz w:val="15"/>
          <w:szCs w:val="15"/>
        </w:rPr>
        <w:t xml:space="preserve">  </w:t>
      </w:r>
      <w:r>
        <w:rPr>
          <w:rFonts w:hint="eastAsia"/>
          <w:sz w:val="15"/>
          <w:szCs w:val="15"/>
          <w:lang w:val="en-US" w:eastAsia="zh-CN"/>
        </w:rPr>
        <w:t>冀A1631V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