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付立宪</w:t>
      </w:r>
      <w:r>
        <w:rPr>
          <w:rFonts w:hint="eastAsia"/>
          <w:sz w:val="15"/>
          <w:szCs w:val="15"/>
          <w:highlight w:val="none"/>
        </w:rPr>
        <w:t>，</w:t>
      </w:r>
      <w:r>
        <w:rPr>
          <w:rFonts w:hint="eastAsia"/>
          <w:sz w:val="15"/>
          <w:szCs w:val="15"/>
          <w:highlight w:val="none"/>
          <w:lang w:val="en-US" w:eastAsia="zh-CN"/>
        </w:rPr>
        <w:t>130125198212143512</w:t>
      </w:r>
      <w:r>
        <w:rPr>
          <w:rFonts w:hint="eastAsia"/>
          <w:sz w:val="15"/>
          <w:szCs w:val="15"/>
        </w:rPr>
        <w:t xml:space="preserve">  </w:t>
      </w:r>
      <w:r>
        <w:rPr>
          <w:rFonts w:hint="eastAsia"/>
          <w:sz w:val="15"/>
          <w:szCs w:val="15"/>
          <w:lang w:val="en-US" w:eastAsia="zh-CN"/>
        </w:rPr>
        <w:t>冀A62798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