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王卫</w:t>
      </w:r>
      <w:r>
        <w:rPr>
          <w:rFonts w:hint="eastAsia"/>
          <w:sz w:val="15"/>
          <w:szCs w:val="15"/>
          <w:highlight w:val="none"/>
        </w:rPr>
        <w:t>，</w:t>
      </w:r>
      <w:r>
        <w:rPr>
          <w:rFonts w:hint="eastAsia"/>
          <w:sz w:val="15"/>
          <w:szCs w:val="15"/>
          <w:highlight w:val="none"/>
          <w:lang w:val="en-US" w:eastAsia="zh-CN"/>
        </w:rPr>
        <w:t>13012519820929351X</w:t>
      </w:r>
      <w:r>
        <w:rPr>
          <w:rFonts w:hint="eastAsia"/>
          <w:sz w:val="15"/>
          <w:szCs w:val="15"/>
        </w:rPr>
        <w:t xml:space="preserve">  </w:t>
      </w:r>
      <w:r>
        <w:rPr>
          <w:rFonts w:hint="eastAsia"/>
          <w:sz w:val="15"/>
          <w:szCs w:val="15"/>
          <w:lang w:val="en-US" w:eastAsia="zh-CN"/>
        </w:rPr>
        <w:t>冀AKW665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