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w:t>
      </w:r>
      <w:r>
        <w:rPr>
          <w:rFonts w:hint="eastAsia"/>
          <w:sz w:val="15"/>
          <w:szCs w:val="15"/>
          <w:highlight w:val="none"/>
        </w:rPr>
        <w:t>，</w:t>
      </w:r>
      <w:r>
        <w:rPr>
          <w:rFonts w:hint="eastAsia"/>
          <w:sz w:val="15"/>
          <w:szCs w:val="15"/>
          <w:highlight w:val="none"/>
          <w:lang w:val="en-US" w:eastAsia="zh-CN"/>
        </w:rPr>
        <w:t>130125198109223530</w:t>
      </w:r>
      <w:r>
        <w:rPr>
          <w:rFonts w:hint="eastAsia"/>
          <w:sz w:val="15"/>
          <w:szCs w:val="15"/>
        </w:rPr>
        <w:t xml:space="preserve">  </w:t>
      </w:r>
      <w:r>
        <w:rPr>
          <w:rFonts w:hint="eastAsia"/>
          <w:sz w:val="15"/>
          <w:szCs w:val="15"/>
          <w:lang w:val="en-US" w:eastAsia="zh-CN"/>
        </w:rPr>
        <w:t>冀A45407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