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张晗思诺</w:t>
      </w:r>
      <w:r>
        <w:rPr>
          <w:rFonts w:hint="eastAsia"/>
          <w:sz w:val="15"/>
          <w:szCs w:val="15"/>
          <w:highlight w:val="none"/>
        </w:rPr>
        <w:t>，</w:t>
      </w:r>
      <w:r>
        <w:rPr>
          <w:rFonts w:hint="eastAsia"/>
          <w:sz w:val="15"/>
          <w:szCs w:val="15"/>
          <w:highlight w:val="none"/>
          <w:lang w:val="en-US" w:eastAsia="zh-CN"/>
        </w:rPr>
        <w:t>130123200501051822</w:t>
      </w:r>
      <w:r>
        <w:rPr>
          <w:rFonts w:hint="eastAsia"/>
          <w:sz w:val="15"/>
          <w:szCs w:val="15"/>
        </w:rPr>
        <w:t xml:space="preserve">  </w:t>
      </w:r>
      <w:r>
        <w:rPr>
          <w:rFonts w:hint="eastAsia"/>
          <w:sz w:val="15"/>
          <w:szCs w:val="15"/>
          <w:lang w:val="en-US" w:eastAsia="zh-CN"/>
        </w:rPr>
        <w:t>冀AK7212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