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崔平</w:t>
      </w:r>
      <w:r>
        <w:rPr>
          <w:rFonts w:hint="eastAsia"/>
          <w:sz w:val="15"/>
          <w:szCs w:val="15"/>
          <w:highlight w:val="none"/>
        </w:rPr>
        <w:t>，</w:t>
      </w:r>
      <w:r>
        <w:rPr>
          <w:rFonts w:hint="eastAsia"/>
          <w:sz w:val="15"/>
          <w:szCs w:val="15"/>
          <w:highlight w:val="none"/>
          <w:lang w:val="en-US" w:eastAsia="zh-CN"/>
        </w:rPr>
        <w:t>130123198801010045</w:t>
      </w:r>
      <w:r>
        <w:rPr>
          <w:rFonts w:hint="eastAsia"/>
          <w:sz w:val="15"/>
          <w:szCs w:val="15"/>
        </w:rPr>
        <w:t xml:space="preserve">  </w:t>
      </w:r>
      <w:r>
        <w:rPr>
          <w:rFonts w:hint="eastAsia"/>
          <w:sz w:val="15"/>
          <w:szCs w:val="15"/>
          <w:lang w:val="en-US" w:eastAsia="zh-CN"/>
        </w:rPr>
        <w:t>冀A685K2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