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王强</w:t>
      </w:r>
      <w:r>
        <w:rPr>
          <w:rFonts w:hint="eastAsia"/>
          <w:sz w:val="15"/>
          <w:szCs w:val="15"/>
          <w:highlight w:val="none"/>
        </w:rPr>
        <w:t>，</w:t>
      </w:r>
      <w:r>
        <w:rPr>
          <w:rFonts w:hint="eastAsia"/>
          <w:sz w:val="15"/>
          <w:szCs w:val="15"/>
          <w:highlight w:val="none"/>
          <w:lang w:val="en-US" w:eastAsia="zh-CN"/>
        </w:rPr>
        <w:t>130123198309087518</w:t>
      </w:r>
      <w:r>
        <w:rPr>
          <w:rFonts w:hint="eastAsia"/>
          <w:sz w:val="15"/>
          <w:szCs w:val="15"/>
        </w:rPr>
        <w:t xml:space="preserve">  </w:t>
      </w:r>
      <w:r>
        <w:rPr>
          <w:rFonts w:hint="eastAsia"/>
          <w:sz w:val="15"/>
          <w:szCs w:val="15"/>
          <w:lang w:val="en-US" w:eastAsia="zh-CN"/>
        </w:rPr>
        <w:t>冀AJ6465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