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王宏科</w:t>
      </w:r>
      <w:r>
        <w:rPr>
          <w:rFonts w:hint="eastAsia"/>
          <w:sz w:val="15"/>
          <w:szCs w:val="15"/>
          <w:highlight w:val="none"/>
        </w:rPr>
        <w:t>，</w:t>
      </w:r>
      <w:r>
        <w:rPr>
          <w:rFonts w:hint="eastAsia"/>
          <w:sz w:val="15"/>
          <w:szCs w:val="15"/>
          <w:highlight w:val="none"/>
          <w:lang w:val="en-US" w:eastAsia="zh-CN"/>
        </w:rPr>
        <w:t>130123198304193637</w:t>
      </w:r>
      <w:r>
        <w:rPr>
          <w:rFonts w:hint="eastAsia"/>
          <w:sz w:val="15"/>
          <w:szCs w:val="15"/>
        </w:rPr>
        <w:t xml:space="preserve">  </w:t>
      </w:r>
      <w:r>
        <w:rPr>
          <w:rFonts w:hint="eastAsia"/>
          <w:sz w:val="15"/>
          <w:szCs w:val="15"/>
          <w:lang w:val="en-US" w:eastAsia="zh-CN"/>
        </w:rPr>
        <w:t>冀A19436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