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朱宁</w:t>
      </w:r>
      <w:r>
        <w:rPr>
          <w:rFonts w:hint="eastAsia"/>
          <w:sz w:val="15"/>
          <w:szCs w:val="15"/>
          <w:highlight w:val="none"/>
        </w:rPr>
        <w:t>，</w:t>
      </w:r>
      <w:r>
        <w:rPr>
          <w:rFonts w:hint="eastAsia"/>
          <w:sz w:val="15"/>
          <w:szCs w:val="15"/>
          <w:highlight w:val="none"/>
          <w:lang w:val="en-US" w:eastAsia="zh-CN"/>
        </w:rPr>
        <w:t>130123198212250040</w:t>
      </w:r>
      <w:r>
        <w:rPr>
          <w:rFonts w:hint="eastAsia"/>
          <w:sz w:val="15"/>
          <w:szCs w:val="15"/>
        </w:rPr>
        <w:t xml:space="preserve">  </w:t>
      </w:r>
      <w:r>
        <w:rPr>
          <w:rFonts w:hint="eastAsia"/>
          <w:sz w:val="15"/>
          <w:szCs w:val="15"/>
          <w:lang w:val="en-US" w:eastAsia="zh-CN"/>
        </w:rPr>
        <w:t>冀AKK646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