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祁丽</w:t>
      </w:r>
      <w:r>
        <w:rPr>
          <w:rFonts w:hint="eastAsia"/>
          <w:sz w:val="15"/>
          <w:szCs w:val="15"/>
          <w:highlight w:val="none"/>
        </w:rPr>
        <w:t>，</w:t>
      </w:r>
      <w:r>
        <w:rPr>
          <w:rFonts w:hint="eastAsia"/>
          <w:sz w:val="15"/>
          <w:szCs w:val="15"/>
          <w:highlight w:val="none"/>
          <w:lang w:val="en-US" w:eastAsia="zh-CN"/>
        </w:rPr>
        <w:t>130123198206052726</w:t>
      </w:r>
      <w:r>
        <w:rPr>
          <w:rFonts w:hint="eastAsia"/>
          <w:sz w:val="15"/>
          <w:szCs w:val="15"/>
        </w:rPr>
        <w:t xml:space="preserve">  </w:t>
      </w:r>
      <w:r>
        <w:rPr>
          <w:rFonts w:hint="eastAsia"/>
          <w:sz w:val="15"/>
          <w:szCs w:val="15"/>
          <w:lang w:val="en-US" w:eastAsia="zh-CN"/>
        </w:rPr>
        <w:t>冀A950F3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