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王当振</w:t>
      </w:r>
      <w:r>
        <w:rPr>
          <w:rFonts w:hint="eastAsia"/>
          <w:sz w:val="15"/>
          <w:szCs w:val="15"/>
          <w:highlight w:val="none"/>
        </w:rPr>
        <w:t>，</w:t>
      </w:r>
      <w:r>
        <w:rPr>
          <w:rFonts w:hint="eastAsia"/>
          <w:sz w:val="15"/>
          <w:szCs w:val="15"/>
          <w:highlight w:val="none"/>
          <w:lang w:val="en-US" w:eastAsia="zh-CN"/>
        </w:rPr>
        <w:t>13012319780503391X</w:t>
      </w:r>
      <w:r>
        <w:rPr>
          <w:rFonts w:hint="eastAsia"/>
          <w:sz w:val="15"/>
          <w:szCs w:val="15"/>
        </w:rPr>
        <w:t xml:space="preserve">  </w:t>
      </w:r>
      <w:r>
        <w:rPr>
          <w:rFonts w:hint="eastAsia"/>
          <w:sz w:val="15"/>
          <w:szCs w:val="15"/>
          <w:lang w:val="en-US" w:eastAsia="zh-CN"/>
        </w:rPr>
        <w:t>冀AYC472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