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边庆刚</w:t>
      </w:r>
      <w:r>
        <w:rPr>
          <w:rFonts w:hint="eastAsia"/>
          <w:sz w:val="15"/>
          <w:szCs w:val="15"/>
          <w:highlight w:val="none"/>
        </w:rPr>
        <w:t>，</w:t>
      </w:r>
      <w:r>
        <w:rPr>
          <w:rFonts w:hint="eastAsia"/>
          <w:sz w:val="15"/>
          <w:szCs w:val="15"/>
          <w:highlight w:val="none"/>
          <w:lang w:val="en-US" w:eastAsia="zh-CN"/>
        </w:rPr>
        <w:t>130123197702253936</w:t>
      </w:r>
      <w:r>
        <w:rPr>
          <w:rFonts w:hint="eastAsia"/>
          <w:sz w:val="15"/>
          <w:szCs w:val="15"/>
        </w:rPr>
        <w:t xml:space="preserve">  </w:t>
      </w:r>
      <w:r>
        <w:rPr>
          <w:rFonts w:hint="eastAsia"/>
          <w:sz w:val="15"/>
          <w:szCs w:val="15"/>
          <w:lang w:val="en-US" w:eastAsia="zh-CN"/>
        </w:rPr>
        <w:t>冀ALV685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