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邱晓立</w:t>
      </w:r>
      <w:r>
        <w:rPr>
          <w:rFonts w:hint="eastAsia"/>
          <w:sz w:val="15"/>
          <w:szCs w:val="15"/>
          <w:highlight w:val="none"/>
        </w:rPr>
        <w:t>，</w:t>
      </w:r>
      <w:r>
        <w:rPr>
          <w:rFonts w:hint="eastAsia"/>
          <w:sz w:val="15"/>
          <w:szCs w:val="15"/>
          <w:highlight w:val="none"/>
          <w:lang w:val="en-US" w:eastAsia="zh-CN"/>
        </w:rPr>
        <w:t>130123197605284511</w:t>
      </w:r>
      <w:r>
        <w:rPr>
          <w:rFonts w:hint="eastAsia"/>
          <w:sz w:val="15"/>
          <w:szCs w:val="15"/>
        </w:rPr>
        <w:t xml:space="preserve">  </w:t>
      </w:r>
      <w:r>
        <w:rPr>
          <w:rFonts w:hint="eastAsia"/>
          <w:sz w:val="15"/>
          <w:szCs w:val="15"/>
          <w:lang w:val="en-US" w:eastAsia="zh-CN"/>
        </w:rPr>
        <w:t>冀A527MF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