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任永红</w:t>
      </w:r>
      <w:r>
        <w:rPr>
          <w:rFonts w:hint="eastAsia"/>
          <w:sz w:val="15"/>
          <w:szCs w:val="15"/>
          <w:highlight w:val="none"/>
        </w:rPr>
        <w:t>，</w:t>
      </w:r>
      <w:r>
        <w:rPr>
          <w:rFonts w:hint="eastAsia"/>
          <w:sz w:val="15"/>
          <w:szCs w:val="15"/>
          <w:highlight w:val="none"/>
          <w:lang w:val="en-US" w:eastAsia="zh-CN"/>
        </w:rPr>
        <w:t>130123197305113614</w:t>
      </w:r>
      <w:r>
        <w:rPr>
          <w:rFonts w:hint="eastAsia"/>
          <w:sz w:val="15"/>
          <w:szCs w:val="15"/>
        </w:rPr>
        <w:t xml:space="preserve">  </w:t>
      </w:r>
      <w:r>
        <w:rPr>
          <w:rFonts w:hint="eastAsia"/>
          <w:sz w:val="15"/>
          <w:szCs w:val="15"/>
          <w:lang w:val="en-US" w:eastAsia="zh-CN"/>
        </w:rPr>
        <w:t>冀A53233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