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宋爱英</w:t>
      </w:r>
      <w:r>
        <w:rPr>
          <w:rFonts w:hint="eastAsia"/>
          <w:sz w:val="15"/>
          <w:szCs w:val="15"/>
          <w:highlight w:val="none"/>
        </w:rPr>
        <w:t>，</w:t>
      </w:r>
      <w:r>
        <w:rPr>
          <w:rFonts w:hint="eastAsia"/>
          <w:sz w:val="15"/>
          <w:szCs w:val="15"/>
          <w:highlight w:val="none"/>
          <w:lang w:val="en-US" w:eastAsia="zh-CN"/>
        </w:rPr>
        <w:t>130123197105125127</w:t>
      </w:r>
      <w:r>
        <w:rPr>
          <w:rFonts w:hint="eastAsia"/>
          <w:sz w:val="15"/>
          <w:szCs w:val="15"/>
        </w:rPr>
        <w:t xml:space="preserve">  </w:t>
      </w:r>
      <w:r>
        <w:rPr>
          <w:rFonts w:hint="eastAsia"/>
          <w:sz w:val="15"/>
          <w:szCs w:val="15"/>
          <w:lang w:val="en-US" w:eastAsia="zh-CN"/>
        </w:rPr>
        <w:t>冀AG4047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