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狄进会</w:t>
      </w:r>
      <w:r>
        <w:rPr>
          <w:rFonts w:hint="eastAsia"/>
          <w:sz w:val="15"/>
          <w:szCs w:val="15"/>
          <w:highlight w:val="none"/>
        </w:rPr>
        <w:t>，</w:t>
      </w:r>
      <w:r>
        <w:rPr>
          <w:rFonts w:hint="eastAsia"/>
          <w:sz w:val="15"/>
          <w:szCs w:val="15"/>
          <w:highlight w:val="none"/>
          <w:lang w:val="en-US" w:eastAsia="zh-CN"/>
        </w:rPr>
        <w:t>13012119880415202X</w:t>
      </w:r>
      <w:r>
        <w:rPr>
          <w:rFonts w:hint="eastAsia"/>
          <w:sz w:val="15"/>
          <w:szCs w:val="15"/>
        </w:rPr>
        <w:t xml:space="preserve">  </w:t>
      </w:r>
      <w:r>
        <w:rPr>
          <w:rFonts w:hint="eastAsia"/>
          <w:sz w:val="15"/>
          <w:szCs w:val="15"/>
          <w:lang w:val="en-US" w:eastAsia="zh-CN"/>
        </w:rPr>
        <w:t>冀APP196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