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高杰昌</w:t>
      </w:r>
      <w:r>
        <w:rPr>
          <w:rFonts w:hint="eastAsia"/>
          <w:sz w:val="15"/>
          <w:szCs w:val="15"/>
          <w:highlight w:val="none"/>
        </w:rPr>
        <w:t>，</w:t>
      </w:r>
      <w:r>
        <w:rPr>
          <w:rFonts w:hint="eastAsia"/>
          <w:sz w:val="15"/>
          <w:szCs w:val="15"/>
          <w:highlight w:val="none"/>
          <w:lang w:val="en-US" w:eastAsia="zh-CN"/>
        </w:rPr>
        <w:t>130121198602152814</w:t>
      </w:r>
      <w:r>
        <w:rPr>
          <w:rFonts w:hint="eastAsia"/>
          <w:sz w:val="15"/>
          <w:szCs w:val="15"/>
        </w:rPr>
        <w:t xml:space="preserve">  </w:t>
      </w:r>
      <w:r>
        <w:rPr>
          <w:rFonts w:hint="eastAsia"/>
          <w:sz w:val="15"/>
          <w:szCs w:val="15"/>
          <w:lang w:val="en-US" w:eastAsia="zh-CN"/>
        </w:rPr>
        <w:t>冀AG4348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