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范慧军</w:t>
      </w:r>
      <w:r>
        <w:rPr>
          <w:rFonts w:hint="eastAsia"/>
          <w:sz w:val="15"/>
          <w:szCs w:val="15"/>
          <w:highlight w:val="none"/>
        </w:rPr>
        <w:t>，</w:t>
      </w:r>
      <w:r>
        <w:rPr>
          <w:rFonts w:hint="eastAsia"/>
          <w:sz w:val="15"/>
          <w:szCs w:val="15"/>
          <w:highlight w:val="none"/>
          <w:lang w:val="en-US" w:eastAsia="zh-CN"/>
        </w:rPr>
        <w:t>130121198212111814</w:t>
      </w:r>
      <w:r>
        <w:rPr>
          <w:rFonts w:hint="eastAsia"/>
          <w:sz w:val="15"/>
          <w:szCs w:val="15"/>
        </w:rPr>
        <w:t xml:space="preserve">  </w:t>
      </w:r>
      <w:r>
        <w:rPr>
          <w:rFonts w:hint="eastAsia"/>
          <w:sz w:val="15"/>
          <w:szCs w:val="15"/>
          <w:lang w:val="en-US" w:eastAsia="zh-CN"/>
        </w:rPr>
        <w:t>冀A85666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