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尹彦喜</w:t>
      </w:r>
      <w:r>
        <w:rPr>
          <w:rFonts w:hint="eastAsia"/>
          <w:sz w:val="15"/>
          <w:szCs w:val="15"/>
          <w:highlight w:val="none"/>
        </w:rPr>
        <w:t>，</w:t>
      </w:r>
      <w:r>
        <w:rPr>
          <w:rFonts w:hint="eastAsia"/>
          <w:sz w:val="15"/>
          <w:szCs w:val="15"/>
          <w:highlight w:val="none"/>
          <w:lang w:val="en-US" w:eastAsia="zh-CN"/>
        </w:rPr>
        <w:t>130121197102251635</w:t>
      </w:r>
      <w:r>
        <w:rPr>
          <w:rFonts w:hint="eastAsia"/>
          <w:sz w:val="15"/>
          <w:szCs w:val="15"/>
        </w:rPr>
        <w:t xml:space="preserve">  </w:t>
      </w:r>
      <w:r>
        <w:rPr>
          <w:rFonts w:hint="eastAsia"/>
          <w:sz w:val="15"/>
          <w:szCs w:val="15"/>
          <w:lang w:val="en-US" w:eastAsia="zh-CN"/>
        </w:rPr>
        <w:t>冀A40682D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