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李康</w:t>
      </w:r>
      <w:r>
        <w:rPr>
          <w:rFonts w:hint="eastAsia"/>
          <w:sz w:val="15"/>
          <w:szCs w:val="15"/>
          <w:highlight w:val="none"/>
        </w:rPr>
        <w:t>，</w:t>
      </w:r>
      <w:r>
        <w:rPr>
          <w:rFonts w:hint="eastAsia"/>
          <w:sz w:val="15"/>
          <w:szCs w:val="15"/>
          <w:highlight w:val="none"/>
          <w:lang w:val="en-US" w:eastAsia="zh-CN"/>
        </w:rPr>
        <w:t>130107198805302117</w:t>
      </w:r>
      <w:r>
        <w:rPr>
          <w:rFonts w:hint="eastAsia"/>
          <w:sz w:val="15"/>
          <w:szCs w:val="15"/>
        </w:rPr>
        <w:t xml:space="preserve">  </w:t>
      </w:r>
      <w:r>
        <w:rPr>
          <w:rFonts w:hint="eastAsia"/>
          <w:sz w:val="15"/>
          <w:szCs w:val="15"/>
          <w:lang w:val="en-US" w:eastAsia="zh-CN"/>
        </w:rPr>
        <w:t>冀A49698D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