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杨一帆</w:t>
      </w:r>
      <w:r>
        <w:rPr>
          <w:rFonts w:hint="eastAsia"/>
          <w:sz w:val="15"/>
          <w:szCs w:val="15"/>
          <w:highlight w:val="none"/>
        </w:rPr>
        <w:t>，</w:t>
      </w:r>
      <w:r>
        <w:rPr>
          <w:rFonts w:hint="eastAsia"/>
          <w:sz w:val="15"/>
          <w:szCs w:val="15"/>
          <w:highlight w:val="none"/>
          <w:lang w:val="en-US" w:eastAsia="zh-CN"/>
        </w:rPr>
        <w:t>130105200409041514</w:t>
      </w:r>
      <w:r>
        <w:rPr>
          <w:rFonts w:hint="eastAsia"/>
          <w:sz w:val="15"/>
          <w:szCs w:val="15"/>
        </w:rPr>
        <w:t xml:space="preserve">  </w:t>
      </w:r>
      <w:r>
        <w:rPr>
          <w:rFonts w:hint="eastAsia"/>
          <w:sz w:val="15"/>
          <w:szCs w:val="15"/>
          <w:lang w:val="en-US" w:eastAsia="zh-CN"/>
        </w:rPr>
        <w:t>冀A6384W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