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张运</w:t>
      </w:r>
      <w:r>
        <w:rPr>
          <w:rFonts w:hint="eastAsia"/>
          <w:sz w:val="15"/>
          <w:szCs w:val="15"/>
          <w:highlight w:val="none"/>
        </w:rPr>
        <w:t>，</w:t>
      </w:r>
      <w:r>
        <w:rPr>
          <w:rFonts w:hint="eastAsia"/>
          <w:sz w:val="15"/>
          <w:szCs w:val="15"/>
          <w:highlight w:val="none"/>
          <w:lang w:val="en-US" w:eastAsia="zh-CN"/>
        </w:rPr>
        <w:t>130102197306052110</w:t>
      </w:r>
      <w:r>
        <w:rPr>
          <w:rFonts w:hint="eastAsia"/>
          <w:sz w:val="15"/>
          <w:szCs w:val="15"/>
        </w:rPr>
        <w:t xml:space="preserve">  </w:t>
      </w:r>
      <w:r>
        <w:rPr>
          <w:rFonts w:hint="eastAsia"/>
          <w:sz w:val="15"/>
          <w:szCs w:val="15"/>
          <w:lang w:val="en-US" w:eastAsia="zh-CN"/>
        </w:rPr>
        <w:t>沪A99891D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