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胡玉龙</w:t>
      </w:r>
      <w:r>
        <w:rPr>
          <w:rFonts w:hint="eastAsia"/>
          <w:sz w:val="15"/>
          <w:szCs w:val="15"/>
          <w:highlight w:val="none"/>
        </w:rPr>
        <w:t>，</w:t>
      </w:r>
      <w:r>
        <w:rPr>
          <w:rFonts w:hint="eastAsia"/>
          <w:sz w:val="15"/>
          <w:szCs w:val="15"/>
          <w:highlight w:val="none"/>
          <w:lang w:val="en-US" w:eastAsia="zh-CN"/>
        </w:rPr>
        <w:t>220702197502135217</w:t>
      </w:r>
      <w:r>
        <w:rPr>
          <w:rFonts w:hint="eastAsia"/>
          <w:sz w:val="15"/>
          <w:szCs w:val="15"/>
        </w:rPr>
        <w:t xml:space="preserve">  </w:t>
      </w:r>
      <w:r>
        <w:rPr>
          <w:rFonts w:hint="eastAsia"/>
          <w:sz w:val="15"/>
          <w:szCs w:val="15"/>
          <w:lang w:val="en-US" w:eastAsia="zh-CN"/>
        </w:rPr>
        <w:t>冀J20169D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