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刘艳利</w:t>
      </w:r>
      <w:r>
        <w:rPr>
          <w:rFonts w:hint="eastAsia"/>
          <w:sz w:val="15"/>
          <w:szCs w:val="15"/>
          <w:highlight w:val="none"/>
        </w:rPr>
        <w:t>，</w:t>
      </w:r>
      <w:r>
        <w:rPr>
          <w:rFonts w:hint="eastAsia"/>
          <w:sz w:val="15"/>
          <w:szCs w:val="15"/>
          <w:highlight w:val="none"/>
          <w:lang w:val="en-US" w:eastAsia="zh-CN"/>
        </w:rPr>
        <w:t>132335197702221326</w:t>
      </w:r>
      <w:r>
        <w:rPr>
          <w:rFonts w:hint="eastAsia"/>
          <w:sz w:val="15"/>
          <w:szCs w:val="15"/>
        </w:rPr>
        <w:t xml:space="preserve">  </w:t>
      </w:r>
      <w:r>
        <w:rPr>
          <w:rFonts w:hint="eastAsia"/>
          <w:sz w:val="15"/>
          <w:szCs w:val="15"/>
          <w:lang w:val="en-US" w:eastAsia="zh-CN"/>
        </w:rPr>
        <w:t>冀AKN640</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