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吴书霞</w:t>
      </w:r>
      <w:r>
        <w:rPr>
          <w:rFonts w:hint="eastAsia"/>
          <w:sz w:val="15"/>
          <w:szCs w:val="15"/>
          <w:highlight w:val="none"/>
        </w:rPr>
        <w:t>，</w:t>
      </w:r>
      <w:r>
        <w:rPr>
          <w:rFonts w:hint="eastAsia"/>
          <w:sz w:val="15"/>
          <w:szCs w:val="15"/>
          <w:highlight w:val="none"/>
          <w:lang w:val="en-US" w:eastAsia="zh-CN"/>
        </w:rPr>
        <w:t>132335197006201321</w:t>
      </w:r>
      <w:r>
        <w:rPr>
          <w:rFonts w:hint="eastAsia"/>
          <w:sz w:val="15"/>
          <w:szCs w:val="15"/>
        </w:rPr>
        <w:t xml:space="preserve">  </w:t>
      </w:r>
      <w:r>
        <w:rPr>
          <w:rFonts w:hint="eastAsia"/>
          <w:sz w:val="15"/>
          <w:szCs w:val="15"/>
          <w:lang w:val="en-US" w:eastAsia="zh-CN"/>
        </w:rPr>
        <w:t>冀A02958D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