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武喜国</w:t>
      </w:r>
      <w:r>
        <w:rPr>
          <w:rFonts w:hint="eastAsia"/>
          <w:sz w:val="15"/>
          <w:szCs w:val="15"/>
          <w:highlight w:val="none"/>
        </w:rPr>
        <w:t>，</w:t>
      </w:r>
      <w:r>
        <w:rPr>
          <w:rFonts w:hint="eastAsia"/>
          <w:sz w:val="15"/>
          <w:szCs w:val="15"/>
          <w:highlight w:val="none"/>
          <w:lang w:val="en-US" w:eastAsia="zh-CN"/>
        </w:rPr>
        <w:t>132335196605201476</w:t>
      </w:r>
      <w:r>
        <w:rPr>
          <w:rFonts w:hint="eastAsia"/>
          <w:sz w:val="15"/>
          <w:szCs w:val="15"/>
        </w:rPr>
        <w:t xml:space="preserve">  </w:t>
      </w:r>
      <w:r>
        <w:rPr>
          <w:rFonts w:hint="eastAsia"/>
          <w:sz w:val="15"/>
          <w:szCs w:val="15"/>
          <w:lang w:val="en-US" w:eastAsia="zh-CN"/>
        </w:rPr>
        <w:t>冀A33422D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