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庞玉华</w:t>
      </w:r>
      <w:r>
        <w:rPr>
          <w:rFonts w:hint="eastAsia"/>
          <w:sz w:val="15"/>
          <w:szCs w:val="15"/>
          <w:highlight w:val="none"/>
        </w:rPr>
        <w:t>，</w:t>
      </w:r>
      <w:r>
        <w:rPr>
          <w:rFonts w:hint="eastAsia"/>
          <w:sz w:val="15"/>
          <w:szCs w:val="15"/>
          <w:highlight w:val="none"/>
          <w:lang w:val="en-US" w:eastAsia="zh-CN"/>
        </w:rPr>
        <w:t>130921196608162268</w:t>
      </w:r>
      <w:r>
        <w:rPr>
          <w:rFonts w:hint="eastAsia"/>
          <w:sz w:val="15"/>
          <w:szCs w:val="15"/>
        </w:rPr>
        <w:t xml:space="preserve">  </w:t>
      </w:r>
      <w:r>
        <w:rPr>
          <w:rFonts w:hint="eastAsia"/>
          <w:sz w:val="15"/>
          <w:szCs w:val="15"/>
          <w:lang w:val="en-US" w:eastAsia="zh-CN"/>
        </w:rPr>
        <w:t>冀J01020D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