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秦建新</w:t>
      </w:r>
      <w:r>
        <w:rPr>
          <w:rFonts w:hint="eastAsia"/>
          <w:sz w:val="15"/>
          <w:szCs w:val="15"/>
          <w:highlight w:val="none"/>
        </w:rPr>
        <w:t>，</w:t>
      </w:r>
      <w:r>
        <w:rPr>
          <w:rFonts w:hint="eastAsia"/>
          <w:sz w:val="15"/>
          <w:szCs w:val="15"/>
          <w:highlight w:val="none"/>
          <w:lang w:val="en-US" w:eastAsia="zh-CN"/>
        </w:rPr>
        <w:t>130425198011121647</w:t>
      </w:r>
      <w:r>
        <w:rPr>
          <w:rFonts w:hint="eastAsia"/>
          <w:sz w:val="15"/>
          <w:szCs w:val="15"/>
        </w:rPr>
        <w:t xml:space="preserve">  </w:t>
      </w:r>
      <w:r>
        <w:rPr>
          <w:rFonts w:hint="eastAsia"/>
          <w:sz w:val="15"/>
          <w:szCs w:val="15"/>
          <w:lang w:val="en-US" w:eastAsia="zh-CN"/>
        </w:rPr>
        <w:t>冀D25377D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