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郝伟娜</w:t>
      </w:r>
      <w:r>
        <w:rPr>
          <w:rFonts w:hint="eastAsia"/>
          <w:sz w:val="15"/>
          <w:szCs w:val="15"/>
          <w:highlight w:val="none"/>
        </w:rPr>
        <w:t>，</w:t>
      </w:r>
      <w:r>
        <w:rPr>
          <w:rFonts w:hint="eastAsia"/>
          <w:sz w:val="15"/>
          <w:szCs w:val="15"/>
          <w:highlight w:val="none"/>
          <w:lang w:val="en-US" w:eastAsia="zh-CN"/>
        </w:rPr>
        <w:t>130421199505132142</w:t>
      </w:r>
      <w:r>
        <w:rPr>
          <w:rFonts w:hint="eastAsia"/>
          <w:sz w:val="15"/>
          <w:szCs w:val="15"/>
        </w:rPr>
        <w:t xml:space="preserve">  </w:t>
      </w:r>
      <w:r>
        <w:rPr>
          <w:rFonts w:hint="eastAsia"/>
          <w:sz w:val="15"/>
          <w:szCs w:val="15"/>
          <w:lang w:val="en-US" w:eastAsia="zh-CN"/>
        </w:rPr>
        <w:t>冀D03419D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