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康超凡</w:t>
      </w:r>
      <w:r>
        <w:rPr>
          <w:rFonts w:hint="eastAsia"/>
          <w:sz w:val="15"/>
          <w:szCs w:val="15"/>
          <w:highlight w:val="none"/>
        </w:rPr>
        <w:t>，</w:t>
      </w:r>
      <w:r>
        <w:rPr>
          <w:rFonts w:hint="eastAsia"/>
          <w:sz w:val="15"/>
          <w:szCs w:val="15"/>
          <w:highlight w:val="none"/>
          <w:lang w:val="en-US" w:eastAsia="zh-CN"/>
        </w:rPr>
        <w:t>130131200205104213</w:t>
      </w:r>
      <w:r>
        <w:rPr>
          <w:rFonts w:hint="eastAsia"/>
          <w:sz w:val="15"/>
          <w:szCs w:val="15"/>
        </w:rPr>
        <w:t xml:space="preserve">  </w:t>
      </w:r>
      <w:r>
        <w:rPr>
          <w:rFonts w:hint="eastAsia"/>
          <w:sz w:val="15"/>
          <w:szCs w:val="15"/>
          <w:lang w:val="en-US" w:eastAsia="zh-CN"/>
        </w:rPr>
        <w:t>冀A2717Y</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