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薛卫刚</w:t>
      </w:r>
      <w:r>
        <w:rPr>
          <w:rFonts w:hint="eastAsia"/>
          <w:sz w:val="15"/>
          <w:szCs w:val="15"/>
          <w:highlight w:val="none"/>
        </w:rPr>
        <w:t>，</w:t>
      </w:r>
      <w:r>
        <w:rPr>
          <w:rFonts w:hint="eastAsia"/>
          <w:sz w:val="15"/>
          <w:szCs w:val="15"/>
          <w:highlight w:val="none"/>
          <w:lang w:val="en-US" w:eastAsia="zh-CN"/>
        </w:rPr>
        <w:t>130131198802201257</w:t>
      </w:r>
      <w:r>
        <w:rPr>
          <w:rFonts w:hint="eastAsia"/>
          <w:sz w:val="15"/>
          <w:szCs w:val="15"/>
        </w:rPr>
        <w:t xml:space="preserve">  </w:t>
      </w:r>
      <w:r>
        <w:rPr>
          <w:rFonts w:hint="eastAsia"/>
          <w:sz w:val="15"/>
          <w:szCs w:val="15"/>
          <w:lang w:val="en-US" w:eastAsia="zh-CN"/>
        </w:rPr>
        <w:t>冀A02758D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