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李腾</w:t>
      </w:r>
      <w:r>
        <w:rPr>
          <w:rFonts w:hint="eastAsia"/>
          <w:sz w:val="15"/>
          <w:szCs w:val="15"/>
          <w:highlight w:val="none"/>
        </w:rPr>
        <w:t>，</w:t>
      </w:r>
      <w:r>
        <w:rPr>
          <w:rFonts w:hint="eastAsia"/>
          <w:sz w:val="15"/>
          <w:szCs w:val="15"/>
          <w:highlight w:val="none"/>
          <w:lang w:val="en-US" w:eastAsia="zh-CN"/>
        </w:rPr>
        <w:t>13013119871115001X</w:t>
      </w:r>
      <w:r>
        <w:rPr>
          <w:rFonts w:hint="eastAsia"/>
          <w:sz w:val="15"/>
          <w:szCs w:val="15"/>
        </w:rPr>
        <w:t xml:space="preserve">  </w:t>
      </w:r>
      <w:r>
        <w:rPr>
          <w:rFonts w:hint="eastAsia"/>
          <w:sz w:val="15"/>
          <w:szCs w:val="15"/>
          <w:lang w:val="en-US" w:eastAsia="zh-CN"/>
        </w:rPr>
        <w:t>冀A09712D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