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周向进</w:t>
      </w:r>
      <w:r>
        <w:rPr>
          <w:rFonts w:hint="eastAsia"/>
          <w:sz w:val="15"/>
          <w:szCs w:val="15"/>
          <w:highlight w:val="none"/>
        </w:rPr>
        <w:t>，</w:t>
      </w:r>
      <w:r>
        <w:rPr>
          <w:rFonts w:hint="eastAsia"/>
          <w:sz w:val="15"/>
          <w:szCs w:val="15"/>
          <w:highlight w:val="none"/>
          <w:lang w:val="en-US" w:eastAsia="zh-CN"/>
        </w:rPr>
        <w:t>130131198409110615</w:t>
      </w:r>
      <w:r>
        <w:rPr>
          <w:rFonts w:hint="eastAsia"/>
          <w:sz w:val="15"/>
          <w:szCs w:val="15"/>
        </w:rPr>
        <w:t xml:space="preserve">  </w:t>
      </w:r>
      <w:r>
        <w:rPr>
          <w:rFonts w:hint="eastAsia"/>
          <w:sz w:val="15"/>
          <w:szCs w:val="15"/>
          <w:lang w:val="en-US" w:eastAsia="zh-CN"/>
        </w:rPr>
        <w:t>冀A35647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