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陈晓博</w:t>
      </w:r>
      <w:r>
        <w:rPr>
          <w:rFonts w:hint="eastAsia"/>
          <w:sz w:val="15"/>
          <w:szCs w:val="15"/>
          <w:highlight w:val="none"/>
        </w:rPr>
        <w:t>，</w:t>
      </w:r>
      <w:r>
        <w:rPr>
          <w:rFonts w:hint="eastAsia"/>
          <w:sz w:val="15"/>
          <w:szCs w:val="15"/>
          <w:highlight w:val="none"/>
          <w:lang w:val="en-US" w:eastAsia="zh-CN"/>
        </w:rPr>
        <w:t>130123198502025466</w:t>
      </w:r>
      <w:r>
        <w:rPr>
          <w:rFonts w:hint="eastAsia"/>
          <w:sz w:val="15"/>
          <w:szCs w:val="15"/>
        </w:rPr>
        <w:t xml:space="preserve">  </w:t>
      </w:r>
      <w:r>
        <w:rPr>
          <w:rFonts w:hint="eastAsia"/>
          <w:sz w:val="15"/>
          <w:szCs w:val="15"/>
          <w:lang w:val="en-US" w:eastAsia="zh-CN"/>
        </w:rPr>
        <w:t>冀A441AT</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