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茹志斌</w:t>
      </w:r>
      <w:r>
        <w:rPr>
          <w:rFonts w:hint="eastAsia"/>
          <w:sz w:val="15"/>
          <w:szCs w:val="15"/>
          <w:highlight w:val="none"/>
        </w:rPr>
        <w:t>，</w:t>
      </w:r>
      <w:r>
        <w:rPr>
          <w:rFonts w:hint="eastAsia"/>
          <w:sz w:val="15"/>
          <w:szCs w:val="15"/>
          <w:highlight w:val="none"/>
          <w:lang w:val="en-US" w:eastAsia="zh-CN"/>
        </w:rPr>
        <w:t>130131199305263611</w:t>
      </w:r>
      <w:r>
        <w:rPr>
          <w:rFonts w:hint="eastAsia"/>
          <w:sz w:val="15"/>
          <w:szCs w:val="15"/>
        </w:rPr>
        <w:t xml:space="preserve">  </w:t>
      </w:r>
      <w:r>
        <w:rPr>
          <w:rFonts w:hint="eastAsia"/>
          <w:sz w:val="15"/>
          <w:szCs w:val="15"/>
          <w:lang w:val="en-US" w:eastAsia="zh-CN"/>
        </w:rPr>
        <w:t>冀A02850D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