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张文花</w:t>
      </w:r>
      <w:r>
        <w:rPr>
          <w:rFonts w:hint="eastAsia"/>
          <w:sz w:val="15"/>
          <w:szCs w:val="15"/>
          <w:highlight w:val="none"/>
        </w:rPr>
        <w:t>，</w:t>
      </w:r>
      <w:r>
        <w:rPr>
          <w:rFonts w:hint="eastAsia"/>
          <w:sz w:val="15"/>
          <w:szCs w:val="15"/>
          <w:highlight w:val="none"/>
          <w:lang w:val="en-US" w:eastAsia="zh-CN"/>
        </w:rPr>
        <w:t>132335198104251167</w:t>
      </w:r>
      <w:r>
        <w:rPr>
          <w:rFonts w:hint="eastAsia"/>
          <w:sz w:val="15"/>
          <w:szCs w:val="15"/>
        </w:rPr>
        <w:t xml:space="preserve">  </w:t>
      </w:r>
      <w:r>
        <w:rPr>
          <w:rFonts w:hint="eastAsia"/>
          <w:sz w:val="15"/>
          <w:szCs w:val="15"/>
          <w:lang w:val="en-US" w:eastAsia="zh-CN"/>
        </w:rPr>
        <w:t>冀A38525D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