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周振平</w:t>
      </w:r>
      <w:r>
        <w:rPr>
          <w:rFonts w:hint="eastAsia"/>
          <w:sz w:val="15"/>
          <w:szCs w:val="15"/>
          <w:highlight w:val="none"/>
        </w:rPr>
        <w:t>，</w:t>
      </w:r>
      <w:r>
        <w:rPr>
          <w:rFonts w:hint="eastAsia"/>
          <w:sz w:val="15"/>
          <w:szCs w:val="15"/>
          <w:highlight w:val="none"/>
          <w:lang w:val="en-US" w:eastAsia="zh-CN"/>
        </w:rPr>
        <w:t>130131198701273630</w:t>
      </w:r>
      <w:r>
        <w:rPr>
          <w:rFonts w:hint="eastAsia"/>
          <w:sz w:val="15"/>
          <w:szCs w:val="15"/>
        </w:rPr>
        <w:t xml:space="preserve">  </w:t>
      </w:r>
      <w:r>
        <w:rPr>
          <w:rFonts w:hint="eastAsia"/>
          <w:sz w:val="15"/>
          <w:szCs w:val="15"/>
          <w:lang w:val="en-US" w:eastAsia="zh-CN"/>
        </w:rPr>
        <w:t>冀AC9423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